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BDF7" w14:textId="77777777" w:rsidR="00E058E5" w:rsidRDefault="00E058E5">
      <w:pPr>
        <w:spacing w:after="200"/>
      </w:pPr>
    </w:p>
    <w:p w14:paraId="027E799C" w14:textId="77777777" w:rsidR="00E058E5" w:rsidRDefault="00000000">
      <w:pPr>
        <w:spacing w:after="40"/>
        <w:jc w:val="center"/>
      </w:pPr>
      <w:r>
        <w:rPr>
          <w:rFonts w:ascii="Arial" w:eastAsia="Arial" w:hAnsi="Arial" w:cs="Arial"/>
          <w:b/>
          <w:bCs/>
          <w:color w:val="F08081"/>
          <w:sz w:val="56"/>
          <w:szCs w:val="56"/>
        </w:rPr>
        <w:t>HEALTHY EATING AT WORK</w:t>
      </w:r>
    </w:p>
    <w:p w14:paraId="490C1716" w14:textId="77777777" w:rsidR="00E058E5" w:rsidRDefault="00000000">
      <w:pPr>
        <w:spacing w:after="80"/>
        <w:jc w:val="center"/>
      </w:pPr>
      <w:r>
        <w:rPr>
          <w:rFonts w:ascii="Arial" w:eastAsia="Arial" w:hAnsi="Arial" w:cs="Arial"/>
          <w:b/>
          <w:bCs/>
          <w:color w:val="1A3F5F"/>
          <w:sz w:val="56"/>
          <w:szCs w:val="56"/>
        </w:rPr>
        <w:t>POLICY</w:t>
      </w:r>
    </w:p>
    <w:p w14:paraId="6FDE706C" w14:textId="77777777" w:rsidR="00E058E5" w:rsidRDefault="00000000">
      <w:pPr>
        <w:spacing w:after="40"/>
        <w:jc w:val="center"/>
      </w:pPr>
      <w:r>
        <w:rPr>
          <w:rFonts w:ascii="Arial" w:eastAsia="Arial" w:hAnsi="Arial" w:cs="Arial"/>
          <w:i/>
          <w:iCs/>
          <w:color w:val="C75D5E"/>
          <w:sz w:val="28"/>
          <w:szCs w:val="28"/>
        </w:rPr>
        <w:t>[Organisation Name]</w:t>
      </w:r>
    </w:p>
    <w:p w14:paraId="438BD060" w14:textId="77777777" w:rsidR="00E058E5" w:rsidRDefault="00000000">
      <w:pPr>
        <w:spacing w:after="300"/>
        <w:jc w:val="center"/>
      </w:pPr>
      <w:r>
        <w:rPr>
          <w:rFonts w:ascii="Arial" w:eastAsia="Arial" w:hAnsi="Arial" w:cs="Arial"/>
          <w:i/>
          <w:iCs/>
          <w:color w:val="A0876E"/>
          <w:sz w:val="22"/>
          <w:szCs w:val="22"/>
        </w:rPr>
        <w:t>A Four Pillars Framework for Peak Performance</w:t>
      </w:r>
    </w:p>
    <w:p w14:paraId="65C5D75A" w14:textId="77777777" w:rsidR="00E058E5" w:rsidRDefault="00E058E5">
      <w:pPr>
        <w:pBdr>
          <w:bottom w:val="single" w:sz="8" w:space="2" w:color="F08081"/>
        </w:pBd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7E22B00A" w14:textId="77777777">
        <w:tblPrEx>
          <w:tblCellMar>
            <w:top w:w="0" w:type="dxa"/>
            <w:bottom w:w="0" w:type="dxa"/>
          </w:tblCellMar>
        </w:tblPrEx>
        <w:tc>
          <w:tcPr>
            <w:tcW w:w="9026" w:type="dxa"/>
            <w:tcBorders>
              <w:top w:val="single" w:sz="4" w:space="0" w:color="F08081"/>
              <w:left w:val="single" w:sz="20" w:space="0" w:color="F08081"/>
              <w:bottom w:val="single" w:sz="4" w:space="0" w:color="F08081"/>
              <w:right w:val="nil"/>
            </w:tcBorders>
            <w:shd w:val="clear" w:color="auto" w:fill="FFF3EE"/>
            <w:tcMar>
              <w:top w:w="140" w:type="dxa"/>
              <w:left w:w="260" w:type="dxa"/>
              <w:bottom w:w="140" w:type="dxa"/>
              <w:right w:w="200" w:type="dxa"/>
            </w:tcMar>
          </w:tcPr>
          <w:p w14:paraId="1D77F11F" w14:textId="77777777" w:rsidR="00AB2726" w:rsidRDefault="00000000">
            <w:pPr>
              <w:spacing w:after="80" w:line="280" w:lineRule="auto"/>
              <w:rPr>
                <w:rFonts w:ascii="Arial" w:eastAsia="Arial" w:hAnsi="Arial" w:cs="Arial"/>
                <w:color w:val="1A3F5F"/>
                <w:sz w:val="22"/>
                <w:szCs w:val="22"/>
              </w:rPr>
            </w:pPr>
            <w:r>
              <w:rPr>
                <w:rFonts w:ascii="Arial" w:eastAsia="Arial" w:hAnsi="Arial" w:cs="Arial"/>
                <w:b/>
                <w:bCs/>
                <w:color w:val="C75D5E"/>
                <w:sz w:val="22"/>
                <w:szCs w:val="22"/>
              </w:rPr>
              <w:t>Policy Statement</w:t>
            </w:r>
            <w:proofErr w:type="gramStart"/>
            <w:r>
              <w:rPr>
                <w:rFonts w:ascii="Arial" w:eastAsia="Arial" w:hAnsi="Arial" w:cs="Arial"/>
                <w:b/>
                <w:bCs/>
                <w:color w:val="C75D5E"/>
                <w:sz w:val="22"/>
                <w:szCs w:val="22"/>
              </w:rPr>
              <w:t xml:space="preserve">: </w:t>
            </w:r>
            <w:r w:rsidR="00AB2726">
              <w:rPr>
                <w:rFonts w:ascii="Arial" w:eastAsia="Arial" w:hAnsi="Arial" w:cs="Arial"/>
                <w:color w:val="1A3F5F"/>
                <w:sz w:val="22"/>
                <w:szCs w:val="22"/>
              </w:rPr>
              <w:t xml:space="preserve"> (</w:t>
            </w:r>
            <w:proofErr w:type="gramEnd"/>
            <w:r w:rsidR="00AB2726">
              <w:rPr>
                <w:rFonts w:ascii="Arial" w:eastAsia="Arial" w:hAnsi="Arial" w:cs="Arial"/>
                <w:color w:val="1A3F5F"/>
                <w:sz w:val="22"/>
                <w:szCs w:val="22"/>
              </w:rPr>
              <w:t>Organisation’s Name)</w:t>
            </w:r>
            <w:r w:rsidR="00AB2726" w:rsidRPr="00AB2726">
              <w:rPr>
                <w:rFonts w:ascii="Arial" w:eastAsia="Arial" w:hAnsi="Arial" w:cs="Arial"/>
                <w:color w:val="1A3F5F"/>
                <w:sz w:val="22"/>
                <w:szCs w:val="22"/>
              </w:rPr>
              <w:t xml:space="preserve"> believe that eating well at work shouldn't be a luxury — and it shouldn't be left entirely to willpower either. We are committed to creating a 'Positive Nutrition Environment': a workplace where nourishing food is accessible, visible and genuinely easy to choose. </w:t>
            </w:r>
          </w:p>
          <w:p w14:paraId="62D032DB" w14:textId="0B0016D0" w:rsidR="00AB2726" w:rsidRDefault="00AB2726">
            <w:pPr>
              <w:spacing w:after="80" w:line="280" w:lineRule="auto"/>
              <w:rPr>
                <w:rFonts w:ascii="Arial" w:eastAsia="Arial" w:hAnsi="Arial" w:cs="Arial"/>
                <w:color w:val="1A3F5F"/>
                <w:sz w:val="22"/>
                <w:szCs w:val="22"/>
              </w:rPr>
            </w:pPr>
            <w:r w:rsidRPr="00AB2726">
              <w:rPr>
                <w:rFonts w:ascii="Arial" w:eastAsia="Arial" w:hAnsi="Arial" w:cs="Arial"/>
                <w:color w:val="1A3F5F"/>
                <w:sz w:val="22"/>
                <w:szCs w:val="22"/>
              </w:rPr>
              <w:t>We recognise that what our people eat directly shapes how they feel, how they cope with pressure, and how they show up — for themselves and for each other. This policy is our commitment to making that easier.</w:t>
            </w:r>
          </w:p>
          <w:p w14:paraId="5A487DCB" w14:textId="77777777" w:rsidR="00AB2726" w:rsidRDefault="00AB2726">
            <w:pPr>
              <w:spacing w:after="80" w:line="280" w:lineRule="auto"/>
              <w:rPr>
                <w:rFonts w:ascii="Arial" w:eastAsia="Arial" w:hAnsi="Arial" w:cs="Arial"/>
                <w:b/>
                <w:bCs/>
                <w:color w:val="1A3F5F"/>
                <w:sz w:val="22"/>
                <w:szCs w:val="22"/>
              </w:rPr>
            </w:pPr>
          </w:p>
          <w:p w14:paraId="40DD2008" w14:textId="75646C9D" w:rsidR="00E058E5" w:rsidRDefault="00000000">
            <w:pPr>
              <w:spacing w:after="80" w:line="280" w:lineRule="auto"/>
            </w:pPr>
            <w:r>
              <w:rPr>
                <w:rFonts w:ascii="Arial" w:eastAsia="Arial" w:hAnsi="Arial" w:cs="Arial"/>
                <w:b/>
                <w:bCs/>
                <w:color w:val="C75D5E"/>
                <w:sz w:val="22"/>
                <w:szCs w:val="22"/>
              </w:rPr>
              <w:t xml:space="preserve">Scope:  </w:t>
            </w:r>
            <w:r>
              <w:rPr>
                <w:rFonts w:ascii="Arial" w:eastAsia="Arial" w:hAnsi="Arial" w:cs="Arial"/>
                <w:color w:val="1A3F5F"/>
                <w:sz w:val="22"/>
                <w:szCs w:val="22"/>
              </w:rPr>
              <w:t>This policy applies to all team members and visitors. It covers all food and drink provided in kitchens, meetings, canteens, and company events.</w:t>
            </w:r>
          </w:p>
        </w:tc>
      </w:tr>
    </w:tbl>
    <w:p w14:paraId="13C8675F" w14:textId="77777777" w:rsidR="00E058E5" w:rsidRDefault="00E058E5">
      <w:pPr>
        <w:spacing w:after="220"/>
      </w:pPr>
    </w:p>
    <w:p w14:paraId="0A326508" w14:textId="77777777" w:rsidR="00E058E5" w:rsidRDefault="00000000">
      <w:pPr>
        <w:spacing w:after="50"/>
      </w:pPr>
      <w:r>
        <w:rPr>
          <w:rFonts w:ascii="Arial" w:eastAsia="Arial" w:hAnsi="Arial" w:cs="Arial"/>
          <w:b/>
          <w:bCs/>
          <w:color w:val="1A3F5F"/>
          <w:sz w:val="26"/>
          <w:szCs w:val="26"/>
        </w:rPr>
        <w:t>OUR COMMITMENTS TO YOUR HEALTH &amp; PERFORMANCE</w:t>
      </w:r>
    </w:p>
    <w:p w14:paraId="4A5A9C41" w14:textId="77777777" w:rsidR="00E058E5" w:rsidRDefault="00000000">
      <w:pPr>
        <w:spacing w:after="220"/>
      </w:pPr>
      <w:r>
        <w:rPr>
          <w:rFonts w:ascii="Arial" w:eastAsia="Arial" w:hAnsi="Arial" w:cs="Arial"/>
          <w:i/>
          <w:iCs/>
          <w:color w:val="C75D5E"/>
          <w:sz w:val="22"/>
          <w:szCs w:val="22"/>
        </w:rPr>
        <w:t>Built on the Four Pillars of Workplace Nutrition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445D1DB2" w14:textId="77777777">
        <w:tblPrEx>
          <w:tblCellMar>
            <w:top w:w="0" w:type="dxa"/>
            <w:bottom w:w="0" w:type="dxa"/>
          </w:tblCellMar>
        </w:tblPrEx>
        <w:tc>
          <w:tcPr>
            <w:tcW w:w="9026" w:type="dxa"/>
            <w:tcBorders>
              <w:top w:val="nil"/>
              <w:left w:val="nil"/>
              <w:bottom w:val="nil"/>
              <w:right w:val="nil"/>
            </w:tcBorders>
            <w:shd w:val="clear" w:color="auto" w:fill="F08081"/>
            <w:tcMar>
              <w:top w:w="180" w:type="dxa"/>
              <w:left w:w="280" w:type="dxa"/>
              <w:bottom w:w="140" w:type="dxa"/>
              <w:right w:w="280" w:type="dxa"/>
            </w:tcMar>
          </w:tcPr>
          <w:p w14:paraId="112933DF" w14:textId="77777777" w:rsidR="00E058E5" w:rsidRDefault="00000000">
            <w:pPr>
              <w:spacing w:after="30"/>
            </w:pPr>
            <w:proofErr w:type="gramStart"/>
            <w:r>
              <w:rPr>
                <w:rFonts w:ascii="Arial" w:eastAsia="Arial" w:hAnsi="Arial" w:cs="Arial"/>
                <w:color w:val="FFD4C4"/>
              </w:rPr>
              <w:t xml:space="preserve">⚡  </w:t>
            </w:r>
            <w:r>
              <w:rPr>
                <w:rFonts w:ascii="Arial" w:eastAsia="Arial" w:hAnsi="Arial" w:cs="Arial"/>
                <w:color w:val="FFD4C4"/>
                <w:sz w:val="18"/>
                <w:szCs w:val="18"/>
              </w:rPr>
              <w:t>PILLAR</w:t>
            </w:r>
            <w:proofErr w:type="gramEnd"/>
            <w:r>
              <w:rPr>
                <w:rFonts w:ascii="Arial" w:eastAsia="Arial" w:hAnsi="Arial" w:cs="Arial"/>
                <w:color w:val="FFD4C4"/>
                <w:sz w:val="18"/>
                <w:szCs w:val="18"/>
              </w:rPr>
              <w:t xml:space="preserve"> </w:t>
            </w:r>
            <w:proofErr w:type="gramStart"/>
            <w:r>
              <w:rPr>
                <w:rFonts w:ascii="Arial" w:eastAsia="Arial" w:hAnsi="Arial" w:cs="Arial"/>
                <w:color w:val="FFD4C4"/>
                <w:sz w:val="18"/>
                <w:szCs w:val="18"/>
              </w:rPr>
              <w:t>1  |</w:t>
            </w:r>
            <w:proofErr w:type="gramEnd"/>
            <w:r>
              <w:rPr>
                <w:rFonts w:ascii="Arial" w:eastAsia="Arial" w:hAnsi="Arial" w:cs="Arial"/>
                <w:color w:val="FFD4C4"/>
                <w:sz w:val="18"/>
                <w:szCs w:val="18"/>
              </w:rPr>
              <w:t xml:space="preserve">  </w:t>
            </w:r>
            <w:r>
              <w:rPr>
                <w:rFonts w:ascii="Arial" w:eastAsia="Arial" w:hAnsi="Arial" w:cs="Arial"/>
                <w:b/>
                <w:bCs/>
                <w:color w:val="FFFFFF"/>
                <w:sz w:val="28"/>
                <w:szCs w:val="28"/>
              </w:rPr>
              <w:t>METABOLIC STABILITY</w:t>
            </w:r>
          </w:p>
          <w:p w14:paraId="74B7A5B6" w14:textId="77777777" w:rsidR="00E058E5" w:rsidRDefault="00000000">
            <w:r>
              <w:rPr>
                <w:rFonts w:ascii="Arial" w:eastAsia="Arial" w:hAnsi="Arial" w:cs="Arial"/>
                <w:i/>
                <w:iCs/>
                <w:color w:val="FFE4D6"/>
              </w:rPr>
              <w:t>The ‘Anti-Slump’ Rule</w:t>
            </w:r>
          </w:p>
        </w:tc>
      </w:tr>
    </w:tbl>
    <w:p w14:paraId="434902C4" w14:textId="77777777" w:rsidR="00E058E5" w:rsidRDefault="00E058E5">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7620A4BE" w14:textId="77777777">
        <w:tblPrEx>
          <w:tblCellMar>
            <w:top w:w="0" w:type="dxa"/>
            <w:bottom w:w="0" w:type="dxa"/>
          </w:tblCellMar>
        </w:tblPrEx>
        <w:tc>
          <w:tcPr>
            <w:tcW w:w="9026" w:type="dxa"/>
            <w:tcBorders>
              <w:top w:val="nil"/>
              <w:left w:val="nil"/>
              <w:bottom w:val="nil"/>
              <w:right w:val="nil"/>
            </w:tcBorders>
            <w:shd w:val="clear" w:color="auto" w:fill="FFF3EE"/>
            <w:tcMar>
              <w:top w:w="120" w:type="dxa"/>
              <w:left w:w="240" w:type="dxa"/>
              <w:bottom w:w="100" w:type="dxa"/>
              <w:right w:w="240" w:type="dxa"/>
            </w:tcMar>
          </w:tcPr>
          <w:p w14:paraId="62FBEF85" w14:textId="77777777" w:rsidR="00E058E5" w:rsidRDefault="00000000">
            <w:pPr>
              <w:spacing w:line="280" w:lineRule="auto"/>
            </w:pPr>
            <w:r>
              <w:rPr>
                <w:rFonts w:ascii="Arial" w:eastAsia="Arial" w:hAnsi="Arial" w:cs="Arial"/>
                <w:b/>
                <w:bCs/>
                <w:color w:val="C75D5E"/>
                <w:sz w:val="22"/>
                <w:szCs w:val="22"/>
              </w:rPr>
              <w:t xml:space="preserve">The Commitment:  </w:t>
            </w:r>
            <w:r>
              <w:rPr>
                <w:rFonts w:ascii="Arial" w:eastAsia="Arial" w:hAnsi="Arial" w:cs="Arial"/>
                <w:color w:val="1A3F5F"/>
                <w:sz w:val="22"/>
                <w:szCs w:val="22"/>
              </w:rPr>
              <w:t>We will work with catering partners to ensure all meals provide a ‘Savoury Start’ and blood-glucose-balancing options — eliminating the 3pm energy crash across the organisation.</w:t>
            </w:r>
          </w:p>
        </w:tc>
      </w:tr>
      <w:tr w:rsidR="00E058E5" w14:paraId="5607D949" w14:textId="77777777">
        <w:tblPrEx>
          <w:tblCellMar>
            <w:top w:w="0" w:type="dxa"/>
            <w:bottom w:w="0" w:type="dxa"/>
          </w:tblCellMar>
        </w:tblPrEx>
        <w:tc>
          <w:tcPr>
            <w:tcW w:w="9026" w:type="dxa"/>
            <w:tcBorders>
              <w:top w:val="single" w:sz="2" w:space="0" w:color="EFE0CF"/>
              <w:left w:val="nil"/>
              <w:bottom w:val="nil"/>
              <w:right w:val="nil"/>
            </w:tcBorders>
            <w:shd w:val="clear" w:color="auto" w:fill="FEF9F5"/>
            <w:tcMar>
              <w:top w:w="100" w:type="dxa"/>
              <w:left w:w="240" w:type="dxa"/>
              <w:bottom w:w="120" w:type="dxa"/>
              <w:right w:w="240" w:type="dxa"/>
            </w:tcMar>
          </w:tcPr>
          <w:p w14:paraId="5D5D0EA6" w14:textId="77777777" w:rsidR="00E058E5" w:rsidRDefault="00000000">
            <w:pPr>
              <w:spacing w:line="280" w:lineRule="auto"/>
            </w:pPr>
            <w:r>
              <w:rPr>
                <w:rFonts w:ascii="Arial" w:eastAsia="Arial" w:hAnsi="Arial" w:cs="Arial"/>
                <w:b/>
                <w:bCs/>
                <w:color w:val="5A8A3C"/>
                <w:sz w:val="22"/>
                <w:szCs w:val="22"/>
              </w:rPr>
              <w:t xml:space="preserve">The Standard:  </w:t>
            </w:r>
            <w:r>
              <w:rPr>
                <w:rFonts w:ascii="Arial" w:eastAsia="Arial" w:hAnsi="Arial" w:cs="Arial"/>
                <w:color w:val="1A3F5F"/>
                <w:sz w:val="22"/>
                <w:szCs w:val="22"/>
              </w:rPr>
              <w:t>Every meal must include a quality protein source, 2+ fibre-rich vegetables, and a preference for wholegrains (quinoa, buckwheat, brown rice) over refined white carbohydrates.</w:t>
            </w:r>
          </w:p>
        </w:tc>
      </w:tr>
    </w:tbl>
    <w:p w14:paraId="06279D57" w14:textId="77777777" w:rsidR="00E058E5" w:rsidRDefault="00E058E5">
      <w:pPr>
        <w:spacing w:after="120"/>
      </w:pPr>
    </w:p>
    <w:p w14:paraId="38CBC196" w14:textId="77777777" w:rsidR="00E058E5" w:rsidRDefault="00000000">
      <w:pPr>
        <w:spacing w:after="140" w:line="280" w:lineRule="auto"/>
      </w:pPr>
      <w:r>
        <w:rPr>
          <w:rFonts w:ascii="Arial" w:eastAsia="Arial" w:hAnsi="Arial" w:cs="Arial"/>
          <w:b/>
          <w:bCs/>
          <w:color w:val="1A3F5F"/>
          <w:sz w:val="22"/>
          <w:szCs w:val="22"/>
        </w:rPr>
        <w:t>In practice:</w:t>
      </w:r>
    </w:p>
    <w:p w14:paraId="7BCE6D0F" w14:textId="752BB340" w:rsidR="00E058E5" w:rsidRDefault="00000000">
      <w:pPr>
        <w:pStyle w:val="ListParagraph"/>
        <w:numPr>
          <w:ilvl w:val="0"/>
          <w:numId w:val="2"/>
        </w:numPr>
        <w:spacing w:after="110" w:line="280" w:lineRule="auto"/>
      </w:pPr>
      <w:r>
        <w:rPr>
          <w:rFonts w:ascii="Arial" w:eastAsia="Arial" w:hAnsi="Arial" w:cs="Arial"/>
          <w:color w:val="1A3F5F"/>
          <w:sz w:val="22"/>
          <w:szCs w:val="22"/>
        </w:rPr>
        <w:t xml:space="preserve">Communal snacks combine carbohydrates with protein or fat (e.g. nuts with fruit, </w:t>
      </w:r>
      <w:r w:rsidR="00AB2726">
        <w:rPr>
          <w:rFonts w:ascii="Arial" w:eastAsia="Arial" w:hAnsi="Arial" w:cs="Arial"/>
          <w:color w:val="1A3F5F"/>
          <w:sz w:val="22"/>
          <w:szCs w:val="22"/>
        </w:rPr>
        <w:t xml:space="preserve">seed crackers </w:t>
      </w:r>
      <w:r>
        <w:rPr>
          <w:rFonts w:ascii="Arial" w:eastAsia="Arial" w:hAnsi="Arial" w:cs="Arial"/>
          <w:color w:val="1A3F5F"/>
          <w:sz w:val="22"/>
          <w:szCs w:val="22"/>
        </w:rPr>
        <w:t>with hummus)</w:t>
      </w:r>
    </w:p>
    <w:p w14:paraId="393AC2EC"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Vending machines stocked with whole-food alternatives alongside standard options</w:t>
      </w:r>
    </w:p>
    <w:p w14:paraId="1E54B5EC"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Meeting refreshments default to protein- and fibre-rich options rather than refined carbohydrates</w:t>
      </w:r>
    </w:p>
    <w:p w14:paraId="32D3DE93"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lastRenderedPageBreak/>
        <w:t>Caffeine-free hot drink alternatives made available in all communal kitchens</w:t>
      </w:r>
    </w:p>
    <w:p w14:paraId="050E7DF4" w14:textId="77777777" w:rsidR="00E058E5" w:rsidRDefault="00E058E5">
      <w:pPr>
        <w:spacing w:after="2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104176AC" w14:textId="77777777">
        <w:tblPrEx>
          <w:tblCellMar>
            <w:top w:w="0" w:type="dxa"/>
            <w:bottom w:w="0" w:type="dxa"/>
          </w:tblCellMar>
        </w:tblPrEx>
        <w:tc>
          <w:tcPr>
            <w:tcW w:w="9026" w:type="dxa"/>
            <w:tcBorders>
              <w:top w:val="nil"/>
              <w:left w:val="nil"/>
              <w:bottom w:val="nil"/>
              <w:right w:val="nil"/>
            </w:tcBorders>
            <w:shd w:val="clear" w:color="auto" w:fill="F08081"/>
            <w:tcMar>
              <w:top w:w="180" w:type="dxa"/>
              <w:left w:w="280" w:type="dxa"/>
              <w:bottom w:w="140" w:type="dxa"/>
              <w:right w:w="280" w:type="dxa"/>
            </w:tcMar>
          </w:tcPr>
          <w:p w14:paraId="1802B73C" w14:textId="77777777" w:rsidR="00E058E5" w:rsidRDefault="00000000">
            <w:pPr>
              <w:spacing w:after="30"/>
            </w:pPr>
            <w:proofErr w:type="gramStart"/>
            <w:r>
              <w:rPr>
                <w:rFonts w:ascii="Arial" w:eastAsia="Arial" w:hAnsi="Arial" w:cs="Arial"/>
                <w:color w:val="FFD4C4"/>
              </w:rPr>
              <w:t xml:space="preserve">🧠  </w:t>
            </w:r>
            <w:r>
              <w:rPr>
                <w:rFonts w:ascii="Arial" w:eastAsia="Arial" w:hAnsi="Arial" w:cs="Arial"/>
                <w:color w:val="FFD4C4"/>
                <w:sz w:val="18"/>
                <w:szCs w:val="18"/>
              </w:rPr>
              <w:t>PILLAR</w:t>
            </w:r>
            <w:proofErr w:type="gramEnd"/>
            <w:r>
              <w:rPr>
                <w:rFonts w:ascii="Arial" w:eastAsia="Arial" w:hAnsi="Arial" w:cs="Arial"/>
                <w:color w:val="FFD4C4"/>
                <w:sz w:val="18"/>
                <w:szCs w:val="18"/>
              </w:rPr>
              <w:t xml:space="preserve"> </w:t>
            </w:r>
            <w:proofErr w:type="gramStart"/>
            <w:r>
              <w:rPr>
                <w:rFonts w:ascii="Arial" w:eastAsia="Arial" w:hAnsi="Arial" w:cs="Arial"/>
                <w:color w:val="FFD4C4"/>
                <w:sz w:val="18"/>
                <w:szCs w:val="18"/>
              </w:rPr>
              <w:t>2  |</w:t>
            </w:r>
            <w:proofErr w:type="gramEnd"/>
            <w:r>
              <w:rPr>
                <w:rFonts w:ascii="Arial" w:eastAsia="Arial" w:hAnsi="Arial" w:cs="Arial"/>
                <w:color w:val="FFD4C4"/>
                <w:sz w:val="18"/>
                <w:szCs w:val="18"/>
              </w:rPr>
              <w:t xml:space="preserve">  </w:t>
            </w:r>
            <w:r>
              <w:rPr>
                <w:rFonts w:ascii="Arial" w:eastAsia="Arial" w:hAnsi="Arial" w:cs="Arial"/>
                <w:b/>
                <w:bCs/>
                <w:color w:val="FFFFFF"/>
                <w:sz w:val="28"/>
                <w:szCs w:val="28"/>
              </w:rPr>
              <w:t>COGNITIVE FUEL</w:t>
            </w:r>
          </w:p>
          <w:p w14:paraId="3B3C381D" w14:textId="77777777" w:rsidR="00E058E5" w:rsidRDefault="00000000">
            <w:r>
              <w:rPr>
                <w:rFonts w:ascii="Arial" w:eastAsia="Arial" w:hAnsi="Arial" w:cs="Arial"/>
                <w:i/>
                <w:iCs/>
                <w:color w:val="FFE4D6"/>
              </w:rPr>
              <w:t>The ‘Brain-First’ Kitchen</w:t>
            </w:r>
          </w:p>
        </w:tc>
      </w:tr>
    </w:tbl>
    <w:p w14:paraId="3A72588F" w14:textId="77777777" w:rsidR="00E058E5" w:rsidRDefault="00E058E5">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05498A27" w14:textId="77777777">
        <w:tblPrEx>
          <w:tblCellMar>
            <w:top w:w="0" w:type="dxa"/>
            <w:bottom w:w="0" w:type="dxa"/>
          </w:tblCellMar>
        </w:tblPrEx>
        <w:tc>
          <w:tcPr>
            <w:tcW w:w="9026" w:type="dxa"/>
            <w:tcBorders>
              <w:top w:val="nil"/>
              <w:left w:val="nil"/>
              <w:bottom w:val="nil"/>
              <w:right w:val="nil"/>
            </w:tcBorders>
            <w:shd w:val="clear" w:color="auto" w:fill="FFF3EE"/>
            <w:tcMar>
              <w:top w:w="120" w:type="dxa"/>
              <w:left w:w="240" w:type="dxa"/>
              <w:bottom w:w="100" w:type="dxa"/>
              <w:right w:w="240" w:type="dxa"/>
            </w:tcMar>
          </w:tcPr>
          <w:p w14:paraId="4FBC4901" w14:textId="77777777" w:rsidR="00E058E5" w:rsidRDefault="00000000">
            <w:pPr>
              <w:spacing w:line="280" w:lineRule="auto"/>
            </w:pPr>
            <w:r>
              <w:rPr>
                <w:rFonts w:ascii="Arial" w:eastAsia="Arial" w:hAnsi="Arial" w:cs="Arial"/>
                <w:b/>
                <w:bCs/>
                <w:color w:val="C75D5E"/>
                <w:sz w:val="22"/>
                <w:szCs w:val="22"/>
              </w:rPr>
              <w:t xml:space="preserve">The Commitment:  </w:t>
            </w:r>
            <w:r>
              <w:rPr>
                <w:rFonts w:ascii="Arial" w:eastAsia="Arial" w:hAnsi="Arial" w:cs="Arial"/>
                <w:color w:val="1A3F5F"/>
                <w:sz w:val="22"/>
                <w:szCs w:val="22"/>
              </w:rPr>
              <w:t>We will replace ultra-processed snacks (UPFs) in meeting rooms and communal areas with whole, non-UPF ‘brain-boosting’ food that provides the Omega-3s and polyphenols required for deep work and decision-making.</w:t>
            </w:r>
          </w:p>
        </w:tc>
      </w:tr>
      <w:tr w:rsidR="00E058E5" w14:paraId="17D8D37D" w14:textId="77777777">
        <w:tblPrEx>
          <w:tblCellMar>
            <w:top w:w="0" w:type="dxa"/>
            <w:bottom w:w="0" w:type="dxa"/>
          </w:tblCellMar>
        </w:tblPrEx>
        <w:tc>
          <w:tcPr>
            <w:tcW w:w="9026" w:type="dxa"/>
            <w:tcBorders>
              <w:top w:val="single" w:sz="2" w:space="0" w:color="EFE0CF"/>
              <w:left w:val="nil"/>
              <w:bottom w:val="nil"/>
              <w:right w:val="nil"/>
            </w:tcBorders>
            <w:shd w:val="clear" w:color="auto" w:fill="FEF9F5"/>
            <w:tcMar>
              <w:top w:w="100" w:type="dxa"/>
              <w:left w:w="240" w:type="dxa"/>
              <w:bottom w:w="120" w:type="dxa"/>
              <w:right w:w="240" w:type="dxa"/>
            </w:tcMar>
          </w:tcPr>
          <w:p w14:paraId="7145A506" w14:textId="77777777" w:rsidR="00E058E5" w:rsidRDefault="00000000">
            <w:pPr>
              <w:spacing w:line="280" w:lineRule="auto"/>
            </w:pPr>
            <w:r>
              <w:rPr>
                <w:rFonts w:ascii="Arial" w:eastAsia="Arial" w:hAnsi="Arial" w:cs="Arial"/>
                <w:b/>
                <w:bCs/>
                <w:color w:val="5A8A3C"/>
                <w:sz w:val="22"/>
                <w:szCs w:val="22"/>
              </w:rPr>
              <w:t xml:space="preserve">The Standard:  </w:t>
            </w:r>
            <w:r>
              <w:rPr>
                <w:rFonts w:ascii="Arial" w:eastAsia="Arial" w:hAnsi="Arial" w:cs="Arial"/>
                <w:color w:val="1A3F5F"/>
                <w:sz w:val="22"/>
                <w:szCs w:val="22"/>
              </w:rPr>
              <w:t>Communal areas stocked with raw nuts, seeds and fresh fruit. Caterers required to offer oily fish at least twice per week. Wholegrains replace refined white pasta and rice as the catering default.</w:t>
            </w:r>
          </w:p>
        </w:tc>
      </w:tr>
    </w:tbl>
    <w:p w14:paraId="74362312" w14:textId="77777777" w:rsidR="00E058E5" w:rsidRDefault="00E058E5">
      <w:pPr>
        <w:spacing w:after="120"/>
      </w:pPr>
    </w:p>
    <w:p w14:paraId="5BEC6060" w14:textId="77777777" w:rsidR="00E058E5" w:rsidRDefault="00000000">
      <w:pPr>
        <w:spacing w:after="140" w:line="280" w:lineRule="auto"/>
      </w:pPr>
      <w:r>
        <w:rPr>
          <w:rFonts w:ascii="Arial" w:eastAsia="Arial" w:hAnsi="Arial" w:cs="Arial"/>
          <w:b/>
          <w:bCs/>
          <w:color w:val="1A3F5F"/>
          <w:sz w:val="22"/>
          <w:szCs w:val="22"/>
        </w:rPr>
        <w:t>In practice:</w:t>
      </w:r>
    </w:p>
    <w:p w14:paraId="163A1FDD"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Water stations positioned in eyeline of workstations to promote consistent hydration</w:t>
      </w:r>
    </w:p>
    <w:p w14:paraId="4EE524B8"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Nuts and seeds available in communal kitchens as a standard provision</w:t>
      </w:r>
    </w:p>
    <w:p w14:paraId="47BE92F7"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Fresh fruit, including berries where possible, stocked in communal fridges</w:t>
      </w:r>
    </w:p>
    <w:p w14:paraId="7518EBB0"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Catering contracts specify wholegrains (quinoa, buckwheat, brown rice) as the default</w:t>
      </w:r>
    </w:p>
    <w:p w14:paraId="5816B699" w14:textId="77777777" w:rsidR="00E058E5" w:rsidRDefault="00E058E5">
      <w:pPr>
        <w:spacing w:after="2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04E9CA15" w14:textId="77777777">
        <w:tblPrEx>
          <w:tblCellMar>
            <w:top w:w="0" w:type="dxa"/>
            <w:bottom w:w="0" w:type="dxa"/>
          </w:tblCellMar>
        </w:tblPrEx>
        <w:tc>
          <w:tcPr>
            <w:tcW w:w="9026" w:type="dxa"/>
            <w:tcBorders>
              <w:top w:val="nil"/>
              <w:left w:val="nil"/>
              <w:bottom w:val="nil"/>
              <w:right w:val="nil"/>
            </w:tcBorders>
            <w:shd w:val="clear" w:color="auto" w:fill="F08081"/>
            <w:tcMar>
              <w:top w:w="180" w:type="dxa"/>
              <w:left w:w="280" w:type="dxa"/>
              <w:bottom w:w="140" w:type="dxa"/>
              <w:right w:w="280" w:type="dxa"/>
            </w:tcMar>
          </w:tcPr>
          <w:p w14:paraId="7A67E891" w14:textId="77777777" w:rsidR="00E058E5" w:rsidRDefault="00000000">
            <w:pPr>
              <w:spacing w:after="30"/>
            </w:pPr>
            <w:r>
              <w:rPr>
                <w:rFonts w:ascii="Arial" w:eastAsia="Arial" w:hAnsi="Arial" w:cs="Arial"/>
                <w:color w:val="FFD4C4"/>
              </w:rPr>
              <w:t>🛡</w:t>
            </w:r>
            <w:proofErr w:type="gramStart"/>
            <w:r>
              <w:rPr>
                <w:rFonts w:ascii="Arial" w:eastAsia="Arial" w:hAnsi="Arial" w:cs="Arial"/>
                <w:color w:val="FFD4C4"/>
              </w:rPr>
              <w:t xml:space="preserve">️  </w:t>
            </w:r>
            <w:r>
              <w:rPr>
                <w:rFonts w:ascii="Arial" w:eastAsia="Arial" w:hAnsi="Arial" w:cs="Arial"/>
                <w:color w:val="FFD4C4"/>
                <w:sz w:val="18"/>
                <w:szCs w:val="18"/>
              </w:rPr>
              <w:t>PILLAR</w:t>
            </w:r>
            <w:proofErr w:type="gramEnd"/>
            <w:r>
              <w:rPr>
                <w:rFonts w:ascii="Arial" w:eastAsia="Arial" w:hAnsi="Arial" w:cs="Arial"/>
                <w:color w:val="FFD4C4"/>
                <w:sz w:val="18"/>
                <w:szCs w:val="18"/>
              </w:rPr>
              <w:t xml:space="preserve"> </w:t>
            </w:r>
            <w:proofErr w:type="gramStart"/>
            <w:r>
              <w:rPr>
                <w:rFonts w:ascii="Arial" w:eastAsia="Arial" w:hAnsi="Arial" w:cs="Arial"/>
                <w:color w:val="FFD4C4"/>
                <w:sz w:val="18"/>
                <w:szCs w:val="18"/>
              </w:rPr>
              <w:t>3  |</w:t>
            </w:r>
            <w:proofErr w:type="gramEnd"/>
            <w:r>
              <w:rPr>
                <w:rFonts w:ascii="Arial" w:eastAsia="Arial" w:hAnsi="Arial" w:cs="Arial"/>
                <w:color w:val="FFD4C4"/>
                <w:sz w:val="18"/>
                <w:szCs w:val="18"/>
              </w:rPr>
              <w:t xml:space="preserve">  </w:t>
            </w:r>
            <w:r>
              <w:rPr>
                <w:rFonts w:ascii="Arial" w:eastAsia="Arial" w:hAnsi="Arial" w:cs="Arial"/>
                <w:b/>
                <w:bCs/>
                <w:color w:val="FFFFFF"/>
                <w:sz w:val="28"/>
                <w:szCs w:val="28"/>
              </w:rPr>
              <w:t>STRESS MANAGEMENT</w:t>
            </w:r>
          </w:p>
          <w:p w14:paraId="7F51EC79" w14:textId="77777777" w:rsidR="00E058E5" w:rsidRDefault="00000000">
            <w:r>
              <w:rPr>
                <w:rFonts w:ascii="Arial" w:eastAsia="Arial" w:hAnsi="Arial" w:cs="Arial"/>
                <w:i/>
                <w:iCs/>
                <w:color w:val="FFE4D6"/>
              </w:rPr>
              <w:t>The ‘Rest &amp; Digest’ Protocol</w:t>
            </w:r>
          </w:p>
        </w:tc>
      </w:tr>
    </w:tbl>
    <w:p w14:paraId="17FA3F4E" w14:textId="77777777" w:rsidR="00E058E5" w:rsidRDefault="00E058E5">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267C0DF4" w14:textId="77777777">
        <w:tblPrEx>
          <w:tblCellMar>
            <w:top w:w="0" w:type="dxa"/>
            <w:bottom w:w="0" w:type="dxa"/>
          </w:tblCellMar>
        </w:tblPrEx>
        <w:tc>
          <w:tcPr>
            <w:tcW w:w="9026" w:type="dxa"/>
            <w:tcBorders>
              <w:top w:val="nil"/>
              <w:left w:val="nil"/>
              <w:bottom w:val="nil"/>
              <w:right w:val="nil"/>
            </w:tcBorders>
            <w:shd w:val="clear" w:color="auto" w:fill="FFF3EE"/>
            <w:tcMar>
              <w:top w:w="120" w:type="dxa"/>
              <w:left w:w="240" w:type="dxa"/>
              <w:bottom w:w="100" w:type="dxa"/>
              <w:right w:w="240" w:type="dxa"/>
            </w:tcMar>
          </w:tcPr>
          <w:p w14:paraId="765B453C" w14:textId="77777777" w:rsidR="00E058E5" w:rsidRDefault="00000000">
            <w:pPr>
              <w:spacing w:line="280" w:lineRule="auto"/>
            </w:pPr>
            <w:r>
              <w:rPr>
                <w:rFonts w:ascii="Arial" w:eastAsia="Arial" w:hAnsi="Arial" w:cs="Arial"/>
                <w:b/>
                <w:bCs/>
                <w:color w:val="C75D5E"/>
                <w:sz w:val="22"/>
                <w:szCs w:val="22"/>
              </w:rPr>
              <w:t xml:space="preserve">The Commitment:  </w:t>
            </w:r>
            <w:r>
              <w:rPr>
                <w:rFonts w:ascii="Arial" w:eastAsia="Arial" w:hAnsi="Arial" w:cs="Arial"/>
                <w:color w:val="1A3F5F"/>
                <w:sz w:val="22"/>
                <w:szCs w:val="22"/>
              </w:rPr>
              <w:t>We actively protect the lunch hour. We discourage ‘desktop dining’ and the fight-or-flight eating state, recognising that eating under stress prevents proper nutrient absorption and accelerates burnout.</w:t>
            </w:r>
          </w:p>
        </w:tc>
      </w:tr>
      <w:tr w:rsidR="00E058E5" w14:paraId="4D786946" w14:textId="77777777">
        <w:tblPrEx>
          <w:tblCellMar>
            <w:top w:w="0" w:type="dxa"/>
            <w:bottom w:w="0" w:type="dxa"/>
          </w:tblCellMar>
        </w:tblPrEx>
        <w:tc>
          <w:tcPr>
            <w:tcW w:w="9026" w:type="dxa"/>
            <w:tcBorders>
              <w:top w:val="single" w:sz="2" w:space="0" w:color="EFE0CF"/>
              <w:left w:val="nil"/>
              <w:bottom w:val="nil"/>
              <w:right w:val="nil"/>
            </w:tcBorders>
            <w:shd w:val="clear" w:color="auto" w:fill="FEF9F5"/>
            <w:tcMar>
              <w:top w:w="100" w:type="dxa"/>
              <w:left w:w="240" w:type="dxa"/>
              <w:bottom w:w="120" w:type="dxa"/>
              <w:right w:w="240" w:type="dxa"/>
            </w:tcMar>
          </w:tcPr>
          <w:p w14:paraId="00300690" w14:textId="77777777" w:rsidR="00E058E5" w:rsidRDefault="00000000">
            <w:pPr>
              <w:spacing w:line="280" w:lineRule="auto"/>
            </w:pPr>
            <w:r>
              <w:rPr>
                <w:rFonts w:ascii="Arial" w:eastAsia="Arial" w:hAnsi="Arial" w:cs="Arial"/>
                <w:b/>
                <w:bCs/>
                <w:color w:val="5A8A3C"/>
                <w:sz w:val="22"/>
                <w:szCs w:val="22"/>
              </w:rPr>
              <w:t xml:space="preserve">The Standard:  </w:t>
            </w:r>
            <w:r>
              <w:rPr>
                <w:rFonts w:ascii="Arial" w:eastAsia="Arial" w:hAnsi="Arial" w:cs="Arial"/>
                <w:color w:val="1A3F5F"/>
                <w:sz w:val="22"/>
                <w:szCs w:val="22"/>
              </w:rPr>
              <w:t>Dedicated eating areas provided away from screens. A minimum 30-minute screen break encouraged at lunch to support the parasympathetic nervous system and proper nutrient absorption.</w:t>
            </w:r>
          </w:p>
        </w:tc>
      </w:tr>
    </w:tbl>
    <w:p w14:paraId="1F6B8DA8" w14:textId="77777777" w:rsidR="00E058E5" w:rsidRDefault="00E058E5">
      <w:pPr>
        <w:spacing w:after="120"/>
      </w:pPr>
    </w:p>
    <w:p w14:paraId="7C26251E" w14:textId="77777777" w:rsidR="00E058E5" w:rsidRDefault="00000000">
      <w:pPr>
        <w:spacing w:after="140" w:line="280" w:lineRule="auto"/>
      </w:pPr>
      <w:r>
        <w:rPr>
          <w:rFonts w:ascii="Arial" w:eastAsia="Arial" w:hAnsi="Arial" w:cs="Arial"/>
          <w:b/>
          <w:bCs/>
          <w:color w:val="1A3F5F"/>
          <w:sz w:val="22"/>
          <w:szCs w:val="22"/>
        </w:rPr>
        <w:t>In practice:</w:t>
      </w:r>
    </w:p>
    <w:p w14:paraId="5E6AEDDA"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Magnesium-rich snacks (nuts, seeds, 70%+ dark chocolate) available in communal areas</w:t>
      </w:r>
    </w:p>
    <w:p w14:paraId="4733AB12"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Vitamin C-rich produce (kiwis, peppers, berries) increased during high-pressure periods</w:t>
      </w:r>
    </w:p>
    <w:p w14:paraId="2436BA71"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Herbal and adaptogenic tea alternatives provided alongside caffeinated options</w:t>
      </w:r>
    </w:p>
    <w:p w14:paraId="629B3FEA"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Meetings avoided across the core lunch window wherever operationally possible</w:t>
      </w:r>
    </w:p>
    <w:p w14:paraId="78EFDD0E" w14:textId="77777777" w:rsidR="00E058E5" w:rsidRDefault="00E058E5">
      <w:pPr>
        <w:spacing w:after="2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7F0F41DE" w14:textId="77777777">
        <w:tblPrEx>
          <w:tblCellMar>
            <w:top w:w="0" w:type="dxa"/>
            <w:bottom w:w="0" w:type="dxa"/>
          </w:tblCellMar>
        </w:tblPrEx>
        <w:tc>
          <w:tcPr>
            <w:tcW w:w="9026" w:type="dxa"/>
            <w:tcBorders>
              <w:top w:val="nil"/>
              <w:left w:val="nil"/>
              <w:bottom w:val="nil"/>
              <w:right w:val="nil"/>
            </w:tcBorders>
            <w:shd w:val="clear" w:color="auto" w:fill="F08081"/>
            <w:tcMar>
              <w:top w:w="180" w:type="dxa"/>
              <w:left w:w="280" w:type="dxa"/>
              <w:bottom w:w="140" w:type="dxa"/>
              <w:right w:w="280" w:type="dxa"/>
            </w:tcMar>
          </w:tcPr>
          <w:p w14:paraId="25005541" w14:textId="77777777" w:rsidR="00E058E5" w:rsidRDefault="00000000">
            <w:pPr>
              <w:spacing w:after="30"/>
            </w:pPr>
            <w:proofErr w:type="gramStart"/>
            <w:r>
              <w:rPr>
                <w:rFonts w:ascii="Arial" w:eastAsia="Arial" w:hAnsi="Arial" w:cs="Arial"/>
                <w:color w:val="FFD4C4"/>
              </w:rPr>
              <w:t xml:space="preserve">🌿  </w:t>
            </w:r>
            <w:r>
              <w:rPr>
                <w:rFonts w:ascii="Arial" w:eastAsia="Arial" w:hAnsi="Arial" w:cs="Arial"/>
                <w:color w:val="FFD4C4"/>
                <w:sz w:val="18"/>
                <w:szCs w:val="18"/>
              </w:rPr>
              <w:t>PILLAR</w:t>
            </w:r>
            <w:proofErr w:type="gramEnd"/>
            <w:r>
              <w:rPr>
                <w:rFonts w:ascii="Arial" w:eastAsia="Arial" w:hAnsi="Arial" w:cs="Arial"/>
                <w:color w:val="FFD4C4"/>
                <w:sz w:val="18"/>
                <w:szCs w:val="18"/>
              </w:rPr>
              <w:t xml:space="preserve"> </w:t>
            </w:r>
            <w:proofErr w:type="gramStart"/>
            <w:r>
              <w:rPr>
                <w:rFonts w:ascii="Arial" w:eastAsia="Arial" w:hAnsi="Arial" w:cs="Arial"/>
                <w:color w:val="FFD4C4"/>
                <w:sz w:val="18"/>
                <w:szCs w:val="18"/>
              </w:rPr>
              <w:t>4  |</w:t>
            </w:r>
            <w:proofErr w:type="gramEnd"/>
            <w:r>
              <w:rPr>
                <w:rFonts w:ascii="Arial" w:eastAsia="Arial" w:hAnsi="Arial" w:cs="Arial"/>
                <w:color w:val="FFD4C4"/>
                <w:sz w:val="18"/>
                <w:szCs w:val="18"/>
              </w:rPr>
              <w:t xml:space="preserve">  </w:t>
            </w:r>
            <w:r>
              <w:rPr>
                <w:rFonts w:ascii="Arial" w:eastAsia="Arial" w:hAnsi="Arial" w:cs="Arial"/>
                <w:b/>
                <w:bCs/>
                <w:color w:val="FFFFFF"/>
                <w:sz w:val="28"/>
                <w:szCs w:val="28"/>
              </w:rPr>
              <w:t>IMMUNE RESILIENCE</w:t>
            </w:r>
          </w:p>
          <w:p w14:paraId="18D35923" w14:textId="77777777" w:rsidR="00E058E5" w:rsidRDefault="00000000">
            <w:r>
              <w:rPr>
                <w:rFonts w:ascii="Arial" w:eastAsia="Arial" w:hAnsi="Arial" w:cs="Arial"/>
                <w:i/>
                <w:iCs/>
                <w:color w:val="FFE4D6"/>
              </w:rPr>
              <w:lastRenderedPageBreak/>
              <w:t>The ‘Internal Terrain’ Strategy</w:t>
            </w:r>
          </w:p>
        </w:tc>
      </w:tr>
    </w:tbl>
    <w:p w14:paraId="075EDDA9" w14:textId="77777777" w:rsidR="00E058E5" w:rsidRDefault="00E058E5">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50538908" w14:textId="77777777">
        <w:tblPrEx>
          <w:tblCellMar>
            <w:top w:w="0" w:type="dxa"/>
            <w:bottom w:w="0" w:type="dxa"/>
          </w:tblCellMar>
        </w:tblPrEx>
        <w:tc>
          <w:tcPr>
            <w:tcW w:w="9026" w:type="dxa"/>
            <w:tcBorders>
              <w:top w:val="nil"/>
              <w:left w:val="nil"/>
              <w:bottom w:val="nil"/>
              <w:right w:val="nil"/>
            </w:tcBorders>
            <w:shd w:val="clear" w:color="auto" w:fill="FFF3EE"/>
            <w:tcMar>
              <w:top w:w="120" w:type="dxa"/>
              <w:left w:w="240" w:type="dxa"/>
              <w:bottom w:w="100" w:type="dxa"/>
              <w:right w:w="240" w:type="dxa"/>
            </w:tcMar>
          </w:tcPr>
          <w:p w14:paraId="5D6A412F" w14:textId="77777777" w:rsidR="00E058E5" w:rsidRDefault="00000000">
            <w:pPr>
              <w:spacing w:line="280" w:lineRule="auto"/>
            </w:pPr>
            <w:r>
              <w:rPr>
                <w:rFonts w:ascii="Arial" w:eastAsia="Arial" w:hAnsi="Arial" w:cs="Arial"/>
                <w:b/>
                <w:bCs/>
                <w:color w:val="C75D5E"/>
                <w:sz w:val="22"/>
                <w:szCs w:val="22"/>
              </w:rPr>
              <w:t xml:space="preserve">The Commitment:  </w:t>
            </w:r>
            <w:r>
              <w:rPr>
                <w:rFonts w:ascii="Arial" w:eastAsia="Arial" w:hAnsi="Arial" w:cs="Arial"/>
                <w:color w:val="1A3F5F"/>
                <w:sz w:val="22"/>
                <w:szCs w:val="22"/>
              </w:rPr>
              <w:t>We provide gut microbiome-supportive nutrition through our drink and snack provision, recognising that a diverse microbiome is the foundation of employee immunity, mental health and operational uptime.</w:t>
            </w:r>
          </w:p>
        </w:tc>
      </w:tr>
      <w:tr w:rsidR="00E058E5" w14:paraId="7A069B36" w14:textId="77777777">
        <w:tblPrEx>
          <w:tblCellMar>
            <w:top w:w="0" w:type="dxa"/>
            <w:bottom w:w="0" w:type="dxa"/>
          </w:tblCellMar>
        </w:tblPrEx>
        <w:tc>
          <w:tcPr>
            <w:tcW w:w="9026" w:type="dxa"/>
            <w:tcBorders>
              <w:top w:val="single" w:sz="2" w:space="0" w:color="EFE0CF"/>
              <w:left w:val="nil"/>
              <w:bottom w:val="nil"/>
              <w:right w:val="nil"/>
            </w:tcBorders>
            <w:shd w:val="clear" w:color="auto" w:fill="FEF9F5"/>
            <w:tcMar>
              <w:top w:w="100" w:type="dxa"/>
              <w:left w:w="240" w:type="dxa"/>
              <w:bottom w:w="120" w:type="dxa"/>
              <w:right w:w="240" w:type="dxa"/>
            </w:tcMar>
          </w:tcPr>
          <w:p w14:paraId="2FBCD365" w14:textId="77777777" w:rsidR="00E058E5" w:rsidRDefault="00000000">
            <w:pPr>
              <w:spacing w:line="280" w:lineRule="auto"/>
            </w:pPr>
            <w:r>
              <w:rPr>
                <w:rFonts w:ascii="Arial" w:eastAsia="Arial" w:hAnsi="Arial" w:cs="Arial"/>
                <w:b/>
                <w:bCs/>
                <w:color w:val="5A8A3C"/>
                <w:sz w:val="22"/>
                <w:szCs w:val="22"/>
              </w:rPr>
              <w:t xml:space="preserve">The Standard:  </w:t>
            </w:r>
            <w:r>
              <w:rPr>
                <w:rFonts w:ascii="Arial" w:eastAsia="Arial" w:hAnsi="Arial" w:cs="Arial"/>
                <w:color w:val="1A3F5F"/>
                <w:sz w:val="22"/>
                <w:szCs w:val="22"/>
              </w:rPr>
              <w:t>Kitchens stocked with probiotic-rich options (kefir, live-culture yoghurt) and prebiotic foods (nuts, seeds, oats, apples). From October to March, catering pivots to prioritise immune-supportive ingredients including Vitamin C, ginger and garlic.</w:t>
            </w:r>
          </w:p>
        </w:tc>
      </w:tr>
    </w:tbl>
    <w:p w14:paraId="6A7D586E" w14:textId="77777777" w:rsidR="00E058E5" w:rsidRDefault="00E058E5">
      <w:pPr>
        <w:spacing w:after="120"/>
      </w:pPr>
    </w:p>
    <w:p w14:paraId="65B670DD" w14:textId="77777777" w:rsidR="00E058E5" w:rsidRDefault="00000000">
      <w:pPr>
        <w:spacing w:after="140" w:line="280" w:lineRule="auto"/>
      </w:pPr>
      <w:r>
        <w:rPr>
          <w:rFonts w:ascii="Arial" w:eastAsia="Arial" w:hAnsi="Arial" w:cs="Arial"/>
          <w:b/>
          <w:bCs/>
          <w:color w:val="1A3F5F"/>
          <w:sz w:val="22"/>
          <w:szCs w:val="22"/>
        </w:rPr>
        <w:t>In practice:</w:t>
      </w:r>
    </w:p>
    <w:p w14:paraId="2314C69F"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Fermented and probiotic-rich drinks and foods made available as a standard kitchen provision</w:t>
      </w:r>
    </w:p>
    <w:p w14:paraId="6F1490A9"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Zinc-rich snacks (pumpkin seeds, mixed nuts) stocked in all communal areas</w:t>
      </w:r>
    </w:p>
    <w:p w14:paraId="02FE8781"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Seasonal catering brief updated each October to reflect immune-resilience priorities</w:t>
      </w:r>
    </w:p>
    <w:p w14:paraId="79A106BF" w14:textId="77777777" w:rsidR="00E058E5" w:rsidRDefault="00000000">
      <w:pPr>
        <w:pStyle w:val="ListParagraph"/>
        <w:numPr>
          <w:ilvl w:val="0"/>
          <w:numId w:val="2"/>
        </w:numPr>
        <w:spacing w:after="110" w:line="280" w:lineRule="auto"/>
      </w:pPr>
      <w:r>
        <w:rPr>
          <w:rFonts w:ascii="Arial" w:eastAsia="Arial" w:hAnsi="Arial" w:cs="Arial"/>
          <w:color w:val="1A3F5F"/>
          <w:sz w:val="22"/>
          <w:szCs w:val="22"/>
        </w:rPr>
        <w:t>Outdoor breaks actively encouraged — natural light exposure supports Vitamin D synthesis</w:t>
      </w:r>
    </w:p>
    <w:p w14:paraId="318CD802" w14:textId="77777777" w:rsidR="00E058E5" w:rsidRDefault="00E058E5">
      <w:pPr>
        <w:spacing w:after="2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709A5647" w14:textId="77777777">
        <w:tblPrEx>
          <w:tblCellMar>
            <w:top w:w="0" w:type="dxa"/>
            <w:bottom w:w="0" w:type="dxa"/>
          </w:tblCellMar>
        </w:tblPrEx>
        <w:tc>
          <w:tcPr>
            <w:tcW w:w="9026" w:type="dxa"/>
            <w:tcBorders>
              <w:top w:val="nil"/>
              <w:left w:val="nil"/>
              <w:bottom w:val="nil"/>
              <w:right w:val="nil"/>
            </w:tcBorders>
            <w:shd w:val="clear" w:color="auto" w:fill="F08081"/>
            <w:tcMar>
              <w:top w:w="180" w:type="dxa"/>
              <w:left w:w="280" w:type="dxa"/>
              <w:bottom w:w="140" w:type="dxa"/>
              <w:right w:w="280" w:type="dxa"/>
            </w:tcMar>
          </w:tcPr>
          <w:p w14:paraId="0347907C" w14:textId="6D5B3E13" w:rsidR="00E058E5" w:rsidRDefault="00000000">
            <w:pPr>
              <w:spacing w:after="30"/>
            </w:pPr>
            <w:proofErr w:type="gramStart"/>
            <w:r>
              <w:rPr>
                <w:rFonts w:ascii="Arial" w:eastAsia="Arial" w:hAnsi="Arial" w:cs="Arial"/>
                <w:color w:val="FFD4C4"/>
              </w:rPr>
              <w:t xml:space="preserve">📚  </w:t>
            </w:r>
            <w:r>
              <w:rPr>
                <w:rFonts w:ascii="Arial" w:eastAsia="Arial" w:hAnsi="Arial" w:cs="Arial"/>
                <w:b/>
                <w:bCs/>
                <w:color w:val="FFFFFF"/>
                <w:sz w:val="28"/>
                <w:szCs w:val="28"/>
              </w:rPr>
              <w:t>ONGOING</w:t>
            </w:r>
            <w:proofErr w:type="gramEnd"/>
            <w:r>
              <w:rPr>
                <w:rFonts w:ascii="Arial" w:eastAsia="Arial" w:hAnsi="Arial" w:cs="Arial"/>
                <w:b/>
                <w:bCs/>
                <w:color w:val="FFFFFF"/>
                <w:sz w:val="28"/>
                <w:szCs w:val="28"/>
              </w:rPr>
              <w:t xml:space="preserve"> EDUCATION</w:t>
            </w:r>
          </w:p>
          <w:p w14:paraId="6B7E8AA9" w14:textId="77777777" w:rsidR="00E058E5" w:rsidRDefault="00000000">
            <w:r>
              <w:rPr>
                <w:rFonts w:ascii="Arial" w:eastAsia="Arial" w:hAnsi="Arial" w:cs="Arial"/>
                <w:i/>
                <w:iCs/>
                <w:color w:val="FFE4D6"/>
              </w:rPr>
              <w:t>Empower, Don’t Just Inform</w:t>
            </w:r>
          </w:p>
        </w:tc>
      </w:tr>
    </w:tbl>
    <w:p w14:paraId="6BECCD50" w14:textId="77777777" w:rsidR="00E058E5" w:rsidRDefault="00E058E5">
      <w:pPr>
        <w:spacing w:after="120"/>
      </w:pPr>
    </w:p>
    <w:p w14:paraId="768D6913" w14:textId="77777777" w:rsidR="00E058E5" w:rsidRDefault="00000000">
      <w:pPr>
        <w:spacing w:after="140" w:line="280" w:lineRule="auto"/>
      </w:pPr>
      <w:r>
        <w:rPr>
          <w:rFonts w:ascii="Arial" w:eastAsia="Arial" w:hAnsi="Arial" w:cs="Arial"/>
          <w:color w:val="1A3F5F"/>
          <w:sz w:val="22"/>
          <w:szCs w:val="22"/>
        </w:rPr>
        <w:t>We commit to at least two expert-led nutrition workshops or webinars per year, equipping staff with the evidence behind their food choices and the practical tools to act on them.</w:t>
      </w:r>
    </w:p>
    <w:p w14:paraId="2A04F737" w14:textId="77777777" w:rsidR="00E058E5" w:rsidRDefault="00000000">
      <w:pPr>
        <w:spacing w:after="140" w:line="280" w:lineRule="auto"/>
      </w:pPr>
      <w:r>
        <w:rPr>
          <w:rFonts w:ascii="Arial" w:eastAsia="Arial" w:hAnsi="Arial" w:cs="Arial"/>
          <w:color w:val="1A3F5F"/>
          <w:sz w:val="22"/>
          <w:szCs w:val="22"/>
        </w:rPr>
        <w:t>Environmental changes alone are not sufficient. Understanding why food affects performance is what creates lasting behaviour change.</w:t>
      </w:r>
    </w:p>
    <w:p w14:paraId="1B8CAF75" w14:textId="77777777" w:rsidR="00E058E5" w:rsidRDefault="00E058E5">
      <w:pPr>
        <w:spacing w:after="220"/>
      </w:pPr>
    </w:p>
    <w:p w14:paraId="7F33D100" w14:textId="77777777" w:rsidR="00E058E5" w:rsidRDefault="00000000">
      <w:pPr>
        <w:spacing w:after="60"/>
      </w:pPr>
      <w:r>
        <w:rPr>
          <w:rFonts w:ascii="Arial" w:eastAsia="Arial" w:hAnsi="Arial" w:cs="Arial"/>
          <w:b/>
          <w:bCs/>
          <w:color w:val="1A3F5F"/>
          <w:sz w:val="24"/>
          <w:szCs w:val="24"/>
        </w:rPr>
        <w:t>COLLECTIVE RESPONSIBILITIES</w:t>
      </w:r>
    </w:p>
    <w:p w14:paraId="01E5E15E" w14:textId="77777777" w:rsidR="00E058E5" w:rsidRDefault="00E058E5">
      <w:pPr>
        <w:pBdr>
          <w:bottom w:val="single" w:sz="2" w:space="1" w:color="EFE0CF"/>
        </w:pBdr>
        <w:spacing w:after="100"/>
      </w:pPr>
    </w:p>
    <w:p w14:paraId="6B038A12" w14:textId="77777777" w:rsidR="00E058E5" w:rsidRDefault="00000000">
      <w:pPr>
        <w:pStyle w:val="ListParagraph"/>
        <w:numPr>
          <w:ilvl w:val="0"/>
          <w:numId w:val="2"/>
        </w:numPr>
        <w:spacing w:after="110" w:line="280" w:lineRule="auto"/>
      </w:pPr>
      <w:r>
        <w:rPr>
          <w:rFonts w:ascii="Arial" w:eastAsia="Arial" w:hAnsi="Arial" w:cs="Arial"/>
          <w:b/>
          <w:bCs/>
          <w:color w:val="C75D5E"/>
          <w:sz w:val="22"/>
          <w:szCs w:val="22"/>
        </w:rPr>
        <w:t xml:space="preserve">Engagement:  </w:t>
      </w:r>
      <w:r>
        <w:rPr>
          <w:rFonts w:ascii="Arial" w:eastAsia="Arial" w:hAnsi="Arial" w:cs="Arial"/>
          <w:color w:val="1A3F5F"/>
          <w:sz w:val="22"/>
          <w:szCs w:val="22"/>
        </w:rPr>
        <w:t>Staff are encouraged to attend nutrition workshops and webinars and engage with any supporting resources provided</w:t>
      </w:r>
    </w:p>
    <w:p w14:paraId="01D4B3DB" w14:textId="77777777" w:rsidR="00E058E5" w:rsidRDefault="00000000">
      <w:pPr>
        <w:pStyle w:val="ListParagraph"/>
        <w:numPr>
          <w:ilvl w:val="0"/>
          <w:numId w:val="2"/>
        </w:numPr>
        <w:spacing w:after="110" w:line="280" w:lineRule="auto"/>
      </w:pPr>
      <w:r>
        <w:rPr>
          <w:rFonts w:ascii="Arial" w:eastAsia="Arial" w:hAnsi="Arial" w:cs="Arial"/>
          <w:b/>
          <w:bCs/>
          <w:color w:val="C75D5E"/>
          <w:sz w:val="22"/>
          <w:szCs w:val="22"/>
        </w:rPr>
        <w:t xml:space="preserve">Feedback Loop:  </w:t>
      </w:r>
      <w:r>
        <w:rPr>
          <w:rFonts w:ascii="Arial" w:eastAsia="Arial" w:hAnsi="Arial" w:cs="Arial"/>
          <w:color w:val="1A3F5F"/>
          <w:sz w:val="22"/>
          <w:szCs w:val="22"/>
        </w:rPr>
        <w:t>Employees can suggest new whole-food staples or report on how changes have impacted their energy and focus</w:t>
      </w:r>
    </w:p>
    <w:p w14:paraId="58047E65" w14:textId="77777777" w:rsidR="00E058E5" w:rsidRDefault="00000000">
      <w:pPr>
        <w:pStyle w:val="ListParagraph"/>
        <w:numPr>
          <w:ilvl w:val="0"/>
          <w:numId w:val="2"/>
        </w:numPr>
        <w:spacing w:after="110" w:line="280" w:lineRule="auto"/>
      </w:pPr>
      <w:r>
        <w:rPr>
          <w:rFonts w:ascii="Arial" w:eastAsia="Arial" w:hAnsi="Arial" w:cs="Arial"/>
          <w:b/>
          <w:bCs/>
          <w:color w:val="C75D5E"/>
          <w:sz w:val="22"/>
          <w:szCs w:val="22"/>
        </w:rPr>
        <w:t xml:space="preserve">Leadership Modelling:  </w:t>
      </w:r>
      <w:r>
        <w:rPr>
          <w:rFonts w:ascii="Arial" w:eastAsia="Arial" w:hAnsi="Arial" w:cs="Arial"/>
          <w:color w:val="1A3F5F"/>
          <w:sz w:val="22"/>
          <w:szCs w:val="22"/>
        </w:rPr>
        <w:t>Managers and leaders are encouraged to visibly participate in the positive nutrition environment — culture change starts at the top</w:t>
      </w:r>
    </w:p>
    <w:p w14:paraId="3F71DE7B" w14:textId="77777777" w:rsidR="00E058E5" w:rsidRDefault="00E058E5">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10"/>
        <w:gridCol w:w="3008"/>
      </w:tblGrid>
      <w:tr w:rsidR="00E058E5" w14:paraId="2356D29E" w14:textId="77777777">
        <w:tblPrEx>
          <w:tblCellMar>
            <w:top w:w="0" w:type="dxa"/>
            <w:bottom w:w="0" w:type="dxa"/>
          </w:tblCellMar>
        </w:tblPrEx>
        <w:tc>
          <w:tcPr>
            <w:tcW w:w="3008" w:type="dxa"/>
            <w:tcBorders>
              <w:top w:val="nil"/>
              <w:left w:val="nil"/>
              <w:bottom w:val="nil"/>
              <w:right w:val="nil"/>
            </w:tcBorders>
            <w:shd w:val="clear" w:color="auto" w:fill="1A3F5F"/>
            <w:tcMar>
              <w:top w:w="120" w:type="dxa"/>
              <w:left w:w="180" w:type="dxa"/>
              <w:bottom w:w="120" w:type="dxa"/>
              <w:right w:w="180" w:type="dxa"/>
            </w:tcMar>
          </w:tcPr>
          <w:p w14:paraId="0E70F3D9" w14:textId="77777777" w:rsidR="00E058E5" w:rsidRDefault="00000000">
            <w:pPr>
              <w:jc w:val="center"/>
            </w:pPr>
            <w:r>
              <w:rPr>
                <w:rFonts w:ascii="Arial" w:eastAsia="Arial" w:hAnsi="Arial" w:cs="Arial"/>
                <w:b/>
                <w:bCs/>
                <w:color w:val="FFFFFF"/>
              </w:rPr>
              <w:t>Review Date</w:t>
            </w:r>
          </w:p>
        </w:tc>
        <w:tc>
          <w:tcPr>
            <w:tcW w:w="3010" w:type="dxa"/>
            <w:tcBorders>
              <w:top w:val="nil"/>
              <w:left w:val="nil"/>
              <w:bottom w:val="nil"/>
              <w:right w:val="nil"/>
            </w:tcBorders>
            <w:shd w:val="clear" w:color="auto" w:fill="1A3F5F"/>
            <w:tcMar>
              <w:top w:w="120" w:type="dxa"/>
              <w:left w:w="180" w:type="dxa"/>
              <w:bottom w:w="120" w:type="dxa"/>
              <w:right w:w="180" w:type="dxa"/>
            </w:tcMar>
          </w:tcPr>
          <w:p w14:paraId="1E47732C" w14:textId="77777777" w:rsidR="00E058E5" w:rsidRDefault="00000000">
            <w:pPr>
              <w:jc w:val="center"/>
            </w:pPr>
            <w:r>
              <w:rPr>
                <w:rFonts w:ascii="Arial" w:eastAsia="Arial" w:hAnsi="Arial" w:cs="Arial"/>
                <w:b/>
                <w:bCs/>
                <w:color w:val="FFFFFF"/>
              </w:rPr>
              <w:t>Policy Owner</w:t>
            </w:r>
          </w:p>
        </w:tc>
        <w:tc>
          <w:tcPr>
            <w:tcW w:w="3008" w:type="dxa"/>
            <w:tcBorders>
              <w:top w:val="nil"/>
              <w:left w:val="nil"/>
              <w:bottom w:val="nil"/>
              <w:right w:val="nil"/>
            </w:tcBorders>
            <w:shd w:val="clear" w:color="auto" w:fill="1A3F5F"/>
            <w:tcMar>
              <w:top w:w="120" w:type="dxa"/>
              <w:left w:w="180" w:type="dxa"/>
              <w:bottom w:w="120" w:type="dxa"/>
              <w:right w:w="180" w:type="dxa"/>
            </w:tcMar>
          </w:tcPr>
          <w:p w14:paraId="361A2053" w14:textId="77777777" w:rsidR="00E058E5" w:rsidRDefault="00000000">
            <w:pPr>
              <w:jc w:val="center"/>
            </w:pPr>
            <w:r>
              <w:rPr>
                <w:rFonts w:ascii="Arial" w:eastAsia="Arial" w:hAnsi="Arial" w:cs="Arial"/>
                <w:b/>
                <w:bCs/>
                <w:color w:val="FFFFFF"/>
              </w:rPr>
              <w:t>Date Adopted</w:t>
            </w:r>
          </w:p>
        </w:tc>
      </w:tr>
      <w:tr w:rsidR="00E058E5" w14:paraId="6D280DF0" w14:textId="77777777">
        <w:tblPrEx>
          <w:tblCellMar>
            <w:top w:w="0" w:type="dxa"/>
            <w:bottom w:w="0" w:type="dxa"/>
          </w:tblCellMar>
        </w:tblPrEx>
        <w:tc>
          <w:tcPr>
            <w:tcW w:w="3008" w:type="dxa"/>
            <w:tcBorders>
              <w:top w:val="nil"/>
              <w:left w:val="nil"/>
              <w:bottom w:val="single" w:sz="2" w:space="0" w:color="EFE0CF"/>
              <w:right w:val="nil"/>
            </w:tcBorders>
            <w:shd w:val="clear" w:color="auto" w:fill="FEF9F5"/>
            <w:tcMar>
              <w:top w:w="120" w:type="dxa"/>
              <w:left w:w="180" w:type="dxa"/>
              <w:bottom w:w="120" w:type="dxa"/>
              <w:right w:w="180" w:type="dxa"/>
            </w:tcMar>
          </w:tcPr>
          <w:p w14:paraId="54DAAF4B" w14:textId="77777777" w:rsidR="00E058E5" w:rsidRDefault="00000000">
            <w:pPr>
              <w:jc w:val="center"/>
            </w:pPr>
            <w:r>
              <w:rPr>
                <w:rFonts w:ascii="Arial" w:eastAsia="Arial" w:hAnsi="Arial" w:cs="Arial"/>
                <w:color w:val="1A3F5F"/>
                <w:sz w:val="22"/>
                <w:szCs w:val="22"/>
              </w:rPr>
              <w:t>Annual</w:t>
            </w:r>
          </w:p>
        </w:tc>
        <w:tc>
          <w:tcPr>
            <w:tcW w:w="3010" w:type="dxa"/>
            <w:tcBorders>
              <w:top w:val="nil"/>
              <w:left w:val="nil"/>
              <w:bottom w:val="single" w:sz="2" w:space="0" w:color="EFE0CF"/>
              <w:right w:val="nil"/>
            </w:tcBorders>
            <w:shd w:val="clear" w:color="auto" w:fill="FEF9F5"/>
            <w:tcMar>
              <w:top w:w="120" w:type="dxa"/>
              <w:left w:w="180" w:type="dxa"/>
              <w:bottom w:w="120" w:type="dxa"/>
              <w:right w:w="180" w:type="dxa"/>
            </w:tcMar>
          </w:tcPr>
          <w:p w14:paraId="6483BD6A" w14:textId="77777777" w:rsidR="00E058E5" w:rsidRDefault="00000000">
            <w:pPr>
              <w:jc w:val="center"/>
            </w:pPr>
            <w:r>
              <w:rPr>
                <w:rFonts w:ascii="Arial" w:eastAsia="Arial" w:hAnsi="Arial" w:cs="Arial"/>
                <w:color w:val="1A3F5F"/>
                <w:sz w:val="22"/>
                <w:szCs w:val="22"/>
              </w:rPr>
              <w:t>HR / People Team</w:t>
            </w:r>
          </w:p>
        </w:tc>
        <w:tc>
          <w:tcPr>
            <w:tcW w:w="3008" w:type="dxa"/>
            <w:tcBorders>
              <w:top w:val="nil"/>
              <w:left w:val="nil"/>
              <w:bottom w:val="single" w:sz="2" w:space="0" w:color="EFE0CF"/>
              <w:right w:val="nil"/>
            </w:tcBorders>
            <w:shd w:val="clear" w:color="auto" w:fill="FEF9F5"/>
            <w:tcMar>
              <w:top w:w="120" w:type="dxa"/>
              <w:left w:w="180" w:type="dxa"/>
              <w:bottom w:w="120" w:type="dxa"/>
              <w:right w:w="180" w:type="dxa"/>
            </w:tcMar>
          </w:tcPr>
          <w:p w14:paraId="2D067E4D" w14:textId="77777777" w:rsidR="00E058E5" w:rsidRDefault="00000000">
            <w:pPr>
              <w:jc w:val="center"/>
            </w:pPr>
            <w:r>
              <w:rPr>
                <w:rFonts w:ascii="Arial" w:eastAsia="Arial" w:hAnsi="Arial" w:cs="Arial"/>
                <w:color w:val="1A3F5F"/>
                <w:sz w:val="22"/>
                <w:szCs w:val="22"/>
              </w:rPr>
              <w:t>_______________</w:t>
            </w:r>
          </w:p>
        </w:tc>
      </w:tr>
    </w:tbl>
    <w:p w14:paraId="34AB9258" w14:textId="77777777" w:rsidR="00E058E5" w:rsidRDefault="00E058E5">
      <w:pPr>
        <w:spacing w:after="2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058E5" w14:paraId="67382C3E" w14:textId="77777777">
        <w:tblPrEx>
          <w:tblCellMar>
            <w:top w:w="0" w:type="dxa"/>
            <w:bottom w:w="0" w:type="dxa"/>
          </w:tblCellMar>
        </w:tblPrEx>
        <w:tc>
          <w:tcPr>
            <w:tcW w:w="9026" w:type="dxa"/>
            <w:tcBorders>
              <w:top w:val="single" w:sz="4" w:space="0" w:color="91C8A3"/>
              <w:left w:val="single" w:sz="20" w:space="0" w:color="91C8A3"/>
              <w:bottom w:val="single" w:sz="4" w:space="0" w:color="91C8A3"/>
              <w:right w:val="nil"/>
            </w:tcBorders>
            <w:shd w:val="clear" w:color="auto" w:fill="F2FBF5"/>
            <w:tcMar>
              <w:top w:w="140" w:type="dxa"/>
              <w:left w:w="260" w:type="dxa"/>
              <w:bottom w:w="140" w:type="dxa"/>
              <w:right w:w="200" w:type="dxa"/>
            </w:tcMar>
          </w:tcPr>
          <w:p w14:paraId="351A11DC" w14:textId="77777777" w:rsidR="00E058E5" w:rsidRDefault="00000000">
            <w:pPr>
              <w:spacing w:after="80" w:line="280" w:lineRule="auto"/>
            </w:pPr>
            <w:r>
              <w:rPr>
                <w:rFonts w:ascii="Arial" w:eastAsia="Arial" w:hAnsi="Arial" w:cs="Arial"/>
                <w:b/>
                <w:bCs/>
                <w:color w:val="5A8A3C"/>
                <w:sz w:val="22"/>
                <w:szCs w:val="22"/>
              </w:rPr>
              <w:lastRenderedPageBreak/>
              <w:t xml:space="preserve">This policy template is provided by </w:t>
            </w:r>
            <w:r>
              <w:rPr>
                <w:rFonts w:ascii="Arial" w:eastAsia="Arial" w:hAnsi="Arial" w:cs="Arial"/>
                <w:color w:val="1A3F5F"/>
                <w:sz w:val="22"/>
                <w:szCs w:val="22"/>
              </w:rPr>
              <w:t>The Nutrition Advantage — corporate nutritionists specialising in workplace health, energy and performance.</w:t>
            </w:r>
          </w:p>
          <w:p w14:paraId="442C013C" w14:textId="77777777" w:rsidR="00E058E5" w:rsidRDefault="00000000">
            <w:pPr>
              <w:spacing w:after="80" w:line="280" w:lineRule="auto"/>
            </w:pPr>
            <w:r>
              <w:rPr>
                <w:rFonts w:ascii="Arial" w:eastAsia="Arial" w:hAnsi="Arial" w:cs="Arial"/>
                <w:b/>
                <w:bCs/>
                <w:color w:val="5A8A3C"/>
                <w:sz w:val="22"/>
                <w:szCs w:val="22"/>
              </w:rPr>
              <w:t xml:space="preserve">To book workshops or webinars for your team: </w:t>
            </w:r>
            <w:proofErr w:type="gramStart"/>
            <w:r>
              <w:rPr>
                <w:rFonts w:ascii="Arial" w:eastAsia="Arial" w:hAnsi="Arial" w:cs="Arial"/>
                <w:color w:val="1A3F5F"/>
                <w:sz w:val="22"/>
                <w:szCs w:val="22"/>
              </w:rPr>
              <w:t>thenutritionadvantage.co.uk  ·</w:t>
            </w:r>
            <w:proofErr w:type="gramEnd"/>
            <w:r>
              <w:rPr>
                <w:rFonts w:ascii="Arial" w:eastAsia="Arial" w:hAnsi="Arial" w:cs="Arial"/>
                <w:color w:val="1A3F5F"/>
                <w:sz w:val="22"/>
                <w:szCs w:val="22"/>
              </w:rPr>
              <w:t xml:space="preserve">  01844 873 689</w:t>
            </w:r>
          </w:p>
        </w:tc>
      </w:tr>
    </w:tbl>
    <w:p w14:paraId="7106315E" w14:textId="77777777" w:rsidR="004831B8" w:rsidRDefault="004831B8"/>
    <w:sectPr w:rsidR="004831B8">
      <w:headerReference w:type="default" r:id="rId7"/>
      <w:footerReference w:type="default" r:id="rId8"/>
      <w:pgSz w:w="11906" w:h="16838"/>
      <w:pgMar w:top="9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A267" w14:textId="77777777" w:rsidR="004831B8" w:rsidRDefault="004831B8">
      <w:r>
        <w:separator/>
      </w:r>
    </w:p>
  </w:endnote>
  <w:endnote w:type="continuationSeparator" w:id="0">
    <w:p w14:paraId="0BA63BCD" w14:textId="77777777" w:rsidR="004831B8" w:rsidRDefault="0048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252F" w14:textId="77777777" w:rsidR="00E058E5" w:rsidRDefault="00E058E5">
    <w:pPr>
      <w:pBdr>
        <w:bottom w:val="single" w:sz="2" w:space="1" w:color="EFE0CF"/>
      </w:pBdr>
      <w:spacing w:after="100"/>
    </w:pPr>
  </w:p>
  <w:p w14:paraId="784248A6" w14:textId="77777777" w:rsidR="00E058E5" w:rsidRDefault="00000000">
    <w:pPr>
      <w:spacing w:after="40"/>
      <w:jc w:val="center"/>
    </w:pPr>
    <w:r>
      <w:rPr>
        <w:rFonts w:ascii="Arial" w:eastAsia="Arial" w:hAnsi="Arial" w:cs="Arial"/>
        <w:b/>
        <w:bCs/>
        <w:color w:val="C75D5E"/>
        <w:sz w:val="18"/>
        <w:szCs w:val="18"/>
      </w:rPr>
      <w:t xml:space="preserve">Powered by The Nutrition </w:t>
    </w:r>
    <w:proofErr w:type="gramStart"/>
    <w:r>
      <w:rPr>
        <w:rFonts w:ascii="Arial" w:eastAsia="Arial" w:hAnsi="Arial" w:cs="Arial"/>
        <w:b/>
        <w:bCs/>
        <w:color w:val="C75D5E"/>
        <w:sz w:val="18"/>
        <w:szCs w:val="18"/>
      </w:rPr>
      <w:t>Advantage  ·</w:t>
    </w:r>
    <w:proofErr w:type="gramEnd"/>
    <w:r>
      <w:rPr>
        <w:rFonts w:ascii="Arial" w:eastAsia="Arial" w:hAnsi="Arial" w:cs="Arial"/>
        <w:b/>
        <w:bCs/>
        <w:color w:val="C75D5E"/>
        <w:sz w:val="18"/>
        <w:szCs w:val="18"/>
      </w:rPr>
      <w:t xml:space="preserve">  </w:t>
    </w:r>
    <w:proofErr w:type="gramStart"/>
    <w:r>
      <w:rPr>
        <w:rFonts w:ascii="Arial" w:eastAsia="Arial" w:hAnsi="Arial" w:cs="Arial"/>
        <w:b/>
        <w:bCs/>
        <w:color w:val="C75D5E"/>
        <w:sz w:val="18"/>
        <w:szCs w:val="18"/>
      </w:rPr>
      <w:t>thenutritionadvantage.co.uk  ·</w:t>
    </w:r>
    <w:proofErr w:type="gramEnd"/>
    <w:r>
      <w:rPr>
        <w:rFonts w:ascii="Arial" w:eastAsia="Arial" w:hAnsi="Arial" w:cs="Arial"/>
        <w:b/>
        <w:bCs/>
        <w:color w:val="C75D5E"/>
        <w:sz w:val="18"/>
        <w:szCs w:val="18"/>
      </w:rPr>
      <w:t xml:space="preserve">  01844 873 689</w:t>
    </w:r>
  </w:p>
  <w:p w14:paraId="21E9FA93" w14:textId="77777777" w:rsidR="00E058E5" w:rsidRDefault="00000000">
    <w:pPr>
      <w:jc w:val="center"/>
    </w:pPr>
    <w:r>
      <w:rPr>
        <w:rFonts w:ascii="Arial" w:eastAsia="Arial" w:hAnsi="Arial" w:cs="Arial"/>
        <w:i/>
        <w:iCs/>
        <w:color w:val="A0876E"/>
        <w:sz w:val="16"/>
        <w:szCs w:val="16"/>
      </w:rPr>
      <w:t xml:space="preserve">Expert Corporate Nutrition Workshops &amp; </w:t>
    </w:r>
    <w:proofErr w:type="gramStart"/>
    <w:r>
      <w:rPr>
        <w:rFonts w:ascii="Arial" w:eastAsia="Arial" w:hAnsi="Arial" w:cs="Arial"/>
        <w:i/>
        <w:iCs/>
        <w:color w:val="A0876E"/>
        <w:sz w:val="16"/>
        <w:szCs w:val="16"/>
      </w:rPr>
      <w:t>Webinars  ·</w:t>
    </w:r>
    <w:proofErr w:type="gramEnd"/>
    <w:r>
      <w:rPr>
        <w:rFonts w:ascii="Arial" w:eastAsia="Arial" w:hAnsi="Arial" w:cs="Arial"/>
        <w:i/>
        <w:iCs/>
        <w:color w:val="A0876E"/>
        <w:sz w:val="16"/>
        <w:szCs w:val="16"/>
      </w:rPr>
      <w:t xml:space="preserve">  Science-backed. Practically delivered.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B53E" w14:textId="77777777" w:rsidR="004831B8" w:rsidRDefault="004831B8">
      <w:r>
        <w:separator/>
      </w:r>
    </w:p>
  </w:footnote>
  <w:footnote w:type="continuationSeparator" w:id="0">
    <w:p w14:paraId="429618BD" w14:textId="77777777" w:rsidR="004831B8" w:rsidRDefault="00483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E058E5" w14:paraId="6102A92D" w14:textId="77777777">
      <w:tblPrEx>
        <w:tblCellMar>
          <w:top w:w="0" w:type="dxa"/>
          <w:bottom w:w="0" w:type="dxa"/>
        </w:tblCellMar>
      </w:tblPrEx>
      <w:tc>
        <w:tcPr>
          <w:tcW w:w="9506" w:type="dxa"/>
          <w:tcBorders>
            <w:top w:val="nil"/>
            <w:left w:val="nil"/>
            <w:bottom w:val="nil"/>
            <w:right w:val="nil"/>
          </w:tcBorders>
          <w:shd w:val="clear" w:color="auto" w:fill="F08081"/>
          <w:tcMar>
            <w:top w:w="100" w:type="dxa"/>
            <w:left w:w="280" w:type="dxa"/>
            <w:bottom w:w="100" w:type="dxa"/>
            <w:right w:w="280" w:type="dxa"/>
          </w:tcMar>
        </w:tcPr>
        <w:p w14:paraId="15FE8A0C" w14:textId="77777777" w:rsidR="00E058E5" w:rsidRDefault="00000000">
          <w:pPr>
            <w:jc w:val="center"/>
          </w:pPr>
          <w:r>
            <w:rPr>
              <w:rFonts w:ascii="Arial" w:eastAsia="Arial" w:hAnsi="Arial" w:cs="Arial"/>
              <w:b/>
              <w:bCs/>
              <w:color w:val="FFFFFF"/>
              <w:sz w:val="18"/>
              <w:szCs w:val="18"/>
            </w:rPr>
            <w:t>HEALTHY EATING AT WORK POLICY</w:t>
          </w:r>
          <w:r>
            <w:rPr>
              <w:rFonts w:ascii="Arial" w:eastAsia="Arial" w:hAnsi="Arial" w:cs="Arial"/>
              <w:color w:val="FFD4C4"/>
              <w:sz w:val="18"/>
              <w:szCs w:val="18"/>
            </w:rPr>
            <w:t xml:space="preserve">   ·   thenutritionadvantage.co.uk</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995"/>
    <w:multiLevelType w:val="hybridMultilevel"/>
    <w:tmpl w:val="420E98D0"/>
    <w:lvl w:ilvl="0" w:tplc="F35EFCC6">
      <w:start w:val="1"/>
      <w:numFmt w:val="bullet"/>
      <w:lvlText w:val="•"/>
      <w:lvlJc w:val="left"/>
      <w:pPr>
        <w:ind w:left="560" w:hanging="320"/>
      </w:pPr>
      <w:rPr>
        <w:rFonts w:ascii="Arial" w:eastAsia="Arial" w:hAnsi="Arial" w:cs="Arial"/>
        <w:color w:val="F08081"/>
      </w:rPr>
    </w:lvl>
    <w:lvl w:ilvl="1" w:tplc="E99823EE">
      <w:numFmt w:val="decimal"/>
      <w:lvlText w:val=""/>
      <w:lvlJc w:val="left"/>
    </w:lvl>
    <w:lvl w:ilvl="2" w:tplc="B2D650C2">
      <w:numFmt w:val="decimal"/>
      <w:lvlText w:val=""/>
      <w:lvlJc w:val="left"/>
    </w:lvl>
    <w:lvl w:ilvl="3" w:tplc="A770111A">
      <w:numFmt w:val="decimal"/>
      <w:lvlText w:val=""/>
      <w:lvlJc w:val="left"/>
    </w:lvl>
    <w:lvl w:ilvl="4" w:tplc="8924AACC">
      <w:numFmt w:val="decimal"/>
      <w:lvlText w:val=""/>
      <w:lvlJc w:val="left"/>
    </w:lvl>
    <w:lvl w:ilvl="5" w:tplc="CFA20B9E">
      <w:numFmt w:val="decimal"/>
      <w:lvlText w:val=""/>
      <w:lvlJc w:val="left"/>
    </w:lvl>
    <w:lvl w:ilvl="6" w:tplc="1106633A">
      <w:numFmt w:val="decimal"/>
      <w:lvlText w:val=""/>
      <w:lvlJc w:val="left"/>
    </w:lvl>
    <w:lvl w:ilvl="7" w:tplc="15F2641A">
      <w:numFmt w:val="decimal"/>
      <w:lvlText w:val=""/>
      <w:lvlJc w:val="left"/>
    </w:lvl>
    <w:lvl w:ilvl="8" w:tplc="AFD8692E">
      <w:numFmt w:val="decimal"/>
      <w:lvlText w:val=""/>
      <w:lvlJc w:val="left"/>
    </w:lvl>
  </w:abstractNum>
  <w:abstractNum w:abstractNumId="1" w15:restartNumberingAfterBreak="0">
    <w:nsid w:val="3B6C590F"/>
    <w:multiLevelType w:val="hybridMultilevel"/>
    <w:tmpl w:val="C8D67506"/>
    <w:lvl w:ilvl="0" w:tplc="E4E00B7E">
      <w:start w:val="1"/>
      <w:numFmt w:val="bullet"/>
      <w:lvlText w:val="●"/>
      <w:lvlJc w:val="left"/>
      <w:pPr>
        <w:ind w:left="720" w:hanging="360"/>
      </w:pPr>
    </w:lvl>
    <w:lvl w:ilvl="1" w:tplc="25FC7A2C">
      <w:start w:val="1"/>
      <w:numFmt w:val="bullet"/>
      <w:lvlText w:val="○"/>
      <w:lvlJc w:val="left"/>
      <w:pPr>
        <w:ind w:left="1440" w:hanging="360"/>
      </w:pPr>
    </w:lvl>
    <w:lvl w:ilvl="2" w:tplc="6818D55C">
      <w:start w:val="1"/>
      <w:numFmt w:val="bullet"/>
      <w:lvlText w:val="■"/>
      <w:lvlJc w:val="left"/>
      <w:pPr>
        <w:ind w:left="2160" w:hanging="360"/>
      </w:pPr>
    </w:lvl>
    <w:lvl w:ilvl="3" w:tplc="BD20FC34">
      <w:start w:val="1"/>
      <w:numFmt w:val="bullet"/>
      <w:lvlText w:val="●"/>
      <w:lvlJc w:val="left"/>
      <w:pPr>
        <w:ind w:left="2880" w:hanging="360"/>
      </w:pPr>
    </w:lvl>
    <w:lvl w:ilvl="4" w:tplc="17A6BB52">
      <w:start w:val="1"/>
      <w:numFmt w:val="bullet"/>
      <w:lvlText w:val="○"/>
      <w:lvlJc w:val="left"/>
      <w:pPr>
        <w:ind w:left="3600" w:hanging="360"/>
      </w:pPr>
    </w:lvl>
    <w:lvl w:ilvl="5" w:tplc="BA7EE4FA">
      <w:start w:val="1"/>
      <w:numFmt w:val="bullet"/>
      <w:lvlText w:val="■"/>
      <w:lvlJc w:val="left"/>
      <w:pPr>
        <w:ind w:left="4320" w:hanging="360"/>
      </w:pPr>
    </w:lvl>
    <w:lvl w:ilvl="6" w:tplc="C9ECEA9E">
      <w:start w:val="1"/>
      <w:numFmt w:val="bullet"/>
      <w:lvlText w:val="●"/>
      <w:lvlJc w:val="left"/>
      <w:pPr>
        <w:ind w:left="5040" w:hanging="360"/>
      </w:pPr>
    </w:lvl>
    <w:lvl w:ilvl="7" w:tplc="2E38643C">
      <w:start w:val="1"/>
      <w:numFmt w:val="bullet"/>
      <w:lvlText w:val="●"/>
      <w:lvlJc w:val="left"/>
      <w:pPr>
        <w:ind w:left="5760" w:hanging="360"/>
      </w:pPr>
    </w:lvl>
    <w:lvl w:ilvl="8" w:tplc="E61EA682">
      <w:start w:val="1"/>
      <w:numFmt w:val="bullet"/>
      <w:lvlText w:val="●"/>
      <w:lvlJc w:val="left"/>
      <w:pPr>
        <w:ind w:left="6480" w:hanging="360"/>
      </w:pPr>
    </w:lvl>
  </w:abstractNum>
  <w:num w:numId="1" w16cid:durableId="84494552">
    <w:abstractNumId w:val="1"/>
    <w:lvlOverride w:ilvl="0">
      <w:startOverride w:val="1"/>
    </w:lvlOverride>
  </w:num>
  <w:num w:numId="2" w16cid:durableId="1084574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E5"/>
    <w:rsid w:val="004831B8"/>
    <w:rsid w:val="00AB2726"/>
    <w:rsid w:val="00C571BE"/>
    <w:rsid w:val="00E0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816467"/>
  <w15:docId w15:val="{D21E6C0F-12BA-8D4E-BA3D-31A147CE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751</Words>
  <Characters>4628</Characters>
  <Application>Microsoft Office Word</Application>
  <DocSecurity>0</DocSecurity>
  <Lines>115</Lines>
  <Paragraphs>71</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 Ley</cp:lastModifiedBy>
  <cp:revision>2</cp:revision>
  <dcterms:created xsi:type="dcterms:W3CDTF">2026-02-14T21:39:00Z</dcterms:created>
  <dcterms:modified xsi:type="dcterms:W3CDTF">2026-02-14T21:39:00Z</dcterms:modified>
</cp:coreProperties>
</file>